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2020/114 vom 22. April 2021</w:t>
      </w:r>
    </w:p>
    <w:p>
      <w:r>
        <w:t>Sg Verwaltungsgericht, 2021-04-22, DE</w:t>
      </w:r>
    </w:p>
    <w:p>
      <w:r>
        <w:rPr>
          <w:b/>
        </w:rPr>
        <w:t xml:space="preserve">Quelle: </w:t>
      </w:r>
      <w:r>
        <w:t>https://mcp.opencaselaw.ch/entscheid/sg_publikationen_B 2020_114</w:t>
      </w:r>
    </w:p>
    <w:p>
      <w:r>
        <w:t>FR: SG_VERWALTUNGSGERICHT B 2020/114 du 22 avril 2021</w:t>
      </w:r>
    </w:p>
    <w:p>
      <w:r>
        <w:t>IT: SG_VERWALTUNGSGERICHT B 2020/114 del 22 aprile 2021</w:t>
      </w:r>
    </w:p>
    <w:p>
      <w:pPr>
        <w:pStyle w:val="Heading2"/>
      </w:pPr>
      <w:r>
        <w:t>Regeste</w:t>
      </w:r>
    </w:p>
    <w:p>
      <w:r>
        <w:t>Teilstrassenplan. Art. 31 Abs. 1, Art. 32, Art. 33 StrG (sGS 732.1). Art. 5 lit. a, Art. 6 EntG (sGS 735.1). Streitig war, ob der Ausbau einer bestehenden Gemeindestrasse 2. Klasse notwendig und die dafür erforderliche Enteignung (dauernde Beanspruchung [Widmung], vorübergehende Beanspruchung) des beschwerdeführerischen Grundstücks im Umfang von 35 m2 (dauernde Beanspruchung [Widmung]) bzw. von 137 m2 (vorübergehende Beanspruchung) im öffentlichen Interesse liegt und verhältnismässig ist. Für die Beurteilung der technischen Anforderungen an eine hinreichende Zufahrt können die Normen der Vereinigung Schweizerischer Strassenfachleute (VSS) als Hilfsmittel bzw. als Richtwerte herangezogen werden, wobei ihre Anwendung im Einzelfall dem Grundsatz der Verhältnismässigkeit entsprechen muss und sie nicht ungeachtet der konkreten Verhältnisse zugrunde gelegt werden dürfen. Die VSS-Normen enthalten mithin keine bindenden Anweisungen für jeden Einzelfall im Sinn einer gesetzlichen Norm. Deren Beizug für die Frage des Raumbedarfs der einzelnen Verkehrsteilnehmer ist zweck- und sachgerecht. Im konkreten Fall hat sich die Vorinstanz zu Recht auf die Beurteilung der Fachstellen abgestützt und daraus schliessen dürfen, dass der streitbetroffene Strassenabschnitt im aktuellen Zustand ohne Ausbau den Anforderungen an die Verkehrssicherheit nicht genügt. Mit Blick auf den Zweck der Strassenverbindung, die möglichen Begegnungsfälle sowie das bestehende und – unter Einbezug der Baumöglichkeiten – künftige geringe Verkehrsaufkommen erweist sich der geplante massvolle Ausbau als notwendig und verhältnismässig. Der mit dem Ausbau verbundene Eingriff in das Eigentum ist nicht bedeutend, zumal weder die gegenwärtige noch künftige Nutzung des betroffenen Grundstücks erheblich erschwert oder verunmöglicht wird (Verwaltungsgericht, B 2020/114).</w:t>
      </w:r>
    </w:p>
    <w:p>
      <w:pPr>
        <w:pStyle w:val="Heading2"/>
      </w:pPr>
      <w:r>
        <w:t>Erwägungen</w:t>
      </w:r>
    </w:p>
    <w:p>
      <w:r>
        <w:rPr>
          <w:b/>
        </w:rPr>
        <w:t>E. 2</w:t>
      </w:r>
    </w:p>
    <w:p>
      <w:r>
        <w:t>(Widmung) seines Grundstücks angemessen entschädigt werden wird (vgl. gmde.-act. A22b, Technischer Bericht Ziff. 7 S. 10 und Landerwerbsplan). Die Beschwerde ist folglich auch unbegründet, soweit sie sich gegen den enteignungsrechtlichen Eingriff richtet. Im Sinn der vorstehenden Erwägungen ist die Beschwerde vollumfänglich abzuweisen. In Streitigkeiten hat gemäss Art. 95 Abs. 1 VRP jener Beteiligte die amtlichen Kosten zu tragen, dessen Begehren ganz oder teilweise abgewiesen werden. Eine Gebühr von CHF 4'500 erscheint für das vorliegende Verfahren angemessen (Art. 7 Ziff. 222 Gerichtskostentarif, sGS 941.12). Sie ist mit dem vom Beschwerdeführer in gleicher Höhe geleisteten Kostenvorschuss zu verrechnen. Eine ausseramtliche Entschädigung ist nicht zuzusprechen (Art. 98 bis VRP). Der Beschwerdeführer ist unterlegen. Die Beschwerdegegnerin ist eine Politische Gemeinde, die grundsätzlichen keinen Anspruch auf Kostenersatz hat (vgl. VerwGE B 2014/203 vom 25. Mai 2019 E. 5.2 mit Hinweisen; Cavelti/Vögeli, Verwaltungsgerichtsbarkeit im Kanton St. Gallen – dargestellt an den Verfahren vor dem Verwaltungsgericht, 2. Aufl. 2003, Rz. 829 ff.). Die Beschwerdegegnerin begründet ihren Antrag nicht. Gründe für ein Abweichen vom Grundsatz sind keine erkennbar. Gleichfalls keinen Anspruch auf Ersatz der ausseramtlichen Kosten hat die Vorinstanz (Cavelti/Vögeli, a.a.O., Rz. 825). Demnach erkennt das Verwaltungsgericht auf dem Zirkulationsweg zu Recht: Die Beschwerde wird abgewiesen, soweit darauf einzutreten ist. Die amtlichen Kosten von CHF 4'500 werden dem Beschwerdeführer auferlegt, unter Verrechnung mit dem von ihm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